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10" w:rsidRDefault="009D0AD6">
      <w:pPr>
        <w:rPr>
          <w:noProof/>
        </w:rPr>
      </w:pPr>
      <w:r>
        <w:rPr>
          <w:noProof/>
        </w:rPr>
        <w:t xml:space="preserve">         </w:t>
      </w:r>
      <w:r>
        <w:rPr>
          <w:noProof/>
        </w:rPr>
        <w:drawing>
          <wp:inline distT="0" distB="0" distL="0" distR="0">
            <wp:extent cx="3693610" cy="990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am L. Jenkins Forensic Center Logo_h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7262" cy="1015717"/>
                    </a:xfrm>
                    <a:prstGeom prst="rect">
                      <a:avLst/>
                    </a:prstGeom>
                  </pic:spPr>
                </pic:pic>
              </a:graphicData>
            </a:graphic>
          </wp:inline>
        </w:drawing>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9D0AD6" w:rsidRPr="009D0AD6" w:rsidTr="00BF37E8">
        <w:trPr>
          <w:trHeight w:val="144"/>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45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Job Title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450" w:line="240" w:lineRule="auto"/>
              <w:rPr>
                <w:rFonts w:eastAsia="Times New Roman" w:cs="Times New Roman"/>
                <w:color w:val="333333"/>
                <w:sz w:val="20"/>
                <w:szCs w:val="20"/>
              </w:rPr>
            </w:pPr>
            <w:r w:rsidRPr="009D0AD6">
              <w:rPr>
                <w:rFonts w:eastAsia="Times New Roman" w:cs="Times New Roman"/>
                <w:color w:val="333333"/>
                <w:sz w:val="20"/>
                <w:szCs w:val="20"/>
              </w:rPr>
              <w:t xml:space="preserve">Autopsy Tech 2 - Working Supervisor </w:t>
            </w:r>
            <w:bookmarkStart w:id="0" w:name="_GoBack"/>
            <w:bookmarkEnd w:id="0"/>
          </w:p>
        </w:tc>
      </w:tr>
      <w:tr w:rsidR="009D0AD6" w:rsidRPr="009D0AD6" w:rsidTr="009D0AD6">
        <w:trPr>
          <w:trHeight w:val="510"/>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45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Department</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450" w:line="240" w:lineRule="auto"/>
              <w:rPr>
                <w:rFonts w:eastAsia="Times New Roman" w:cs="Times New Roman"/>
                <w:color w:val="333333"/>
                <w:sz w:val="20"/>
                <w:szCs w:val="20"/>
              </w:rPr>
            </w:pPr>
            <w:r w:rsidRPr="009D0AD6">
              <w:rPr>
                <w:rFonts w:eastAsia="Times New Roman" w:cs="Times New Roman"/>
                <w:color w:val="333333"/>
                <w:sz w:val="20"/>
                <w:szCs w:val="20"/>
              </w:rPr>
              <w:t xml:space="preserve">Pathology - 31540 </w:t>
            </w:r>
          </w:p>
        </w:tc>
      </w:tr>
      <w:tr w:rsidR="009D0AD6" w:rsidRPr="009D0AD6" w:rsidTr="009D0AD6">
        <w:trPr>
          <w:trHeight w:val="357"/>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45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Pay Grade</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450" w:line="240" w:lineRule="auto"/>
              <w:rPr>
                <w:rFonts w:eastAsia="Times New Roman" w:cs="Times New Roman"/>
                <w:color w:val="333333"/>
                <w:sz w:val="20"/>
                <w:szCs w:val="20"/>
              </w:rPr>
            </w:pPr>
            <w:r w:rsidRPr="009D0AD6">
              <w:rPr>
                <w:rFonts w:eastAsia="Times New Roman" w:cs="Times New Roman"/>
                <w:color w:val="333333"/>
                <w:sz w:val="20"/>
                <w:szCs w:val="20"/>
              </w:rPr>
              <w:t xml:space="preserve">10 </w:t>
            </w:r>
          </w:p>
        </w:tc>
      </w:tr>
      <w:tr w:rsidR="009D0AD6" w:rsidRPr="009D0AD6" w:rsidTr="009D0AD6">
        <w:trPr>
          <w:trHeight w:val="582"/>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45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Job Category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450" w:line="240" w:lineRule="auto"/>
              <w:rPr>
                <w:rFonts w:eastAsia="Times New Roman" w:cs="Times New Roman"/>
                <w:color w:val="333333"/>
                <w:sz w:val="20"/>
                <w:szCs w:val="20"/>
              </w:rPr>
            </w:pPr>
            <w:r w:rsidRPr="009D0AD6">
              <w:rPr>
                <w:rFonts w:eastAsia="Times New Roman" w:cs="Times New Roman"/>
                <w:color w:val="333333"/>
                <w:sz w:val="20"/>
                <w:szCs w:val="20"/>
              </w:rPr>
              <w:t xml:space="preserve">Support Staff </w:t>
            </w:r>
          </w:p>
        </w:tc>
      </w:tr>
      <w:tr w:rsidR="009D0AD6" w:rsidRPr="009D0AD6" w:rsidTr="009D0AD6">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45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Job Summary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75" w:line="240" w:lineRule="auto"/>
              <w:rPr>
                <w:rFonts w:eastAsia="Times New Roman" w:cs="Times New Roman"/>
                <w:color w:val="333333"/>
                <w:sz w:val="20"/>
                <w:szCs w:val="20"/>
              </w:rPr>
            </w:pPr>
            <w:r w:rsidRPr="009D0AD6">
              <w:rPr>
                <w:rFonts w:eastAsia="Times New Roman" w:cs="Times New Roman"/>
                <w:color w:val="333333"/>
                <w:sz w:val="20"/>
                <w:szCs w:val="20"/>
              </w:rPr>
              <w:t>Position Contingent on outside funding.</w:t>
            </w:r>
          </w:p>
          <w:p w:rsidR="009D0AD6" w:rsidRPr="009D0AD6" w:rsidRDefault="009D0AD6" w:rsidP="009D0AD6">
            <w:pPr>
              <w:spacing w:after="75" w:line="240" w:lineRule="auto"/>
              <w:rPr>
                <w:rFonts w:eastAsia="Times New Roman" w:cs="Times New Roman"/>
                <w:color w:val="333333"/>
                <w:sz w:val="20"/>
                <w:szCs w:val="20"/>
              </w:rPr>
            </w:pPr>
            <w:r w:rsidRPr="009D0AD6">
              <w:rPr>
                <w:rFonts w:eastAsia="Times New Roman" w:cs="Times New Roman"/>
                <w:color w:val="333333"/>
                <w:sz w:val="20"/>
                <w:szCs w:val="20"/>
              </w:rPr>
              <w:t>Under general supervision of the Director of Operations, the Autopsy Technician 2 will serve as a working supervisor who will oversee, plan and prioritize the work of autopsy technicians while performing the same and/or more complex duties of those being led. Duties to include but not limited to, supervising autopsy technicians, ensuring efficiency of work flow, assisting the pathologist in examining bodies and conducting autopsies. The Autopsy Technician 2 will maintain morgue and autopsy supplies/equipment, develop and implement policies and procedures.</w:t>
            </w:r>
          </w:p>
        </w:tc>
      </w:tr>
      <w:tr w:rsidR="009D0AD6" w:rsidRPr="009D0AD6" w:rsidTr="009D0AD6">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Knowledge, Skills and Abilities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Knowledge of principles of a working supervisor.</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Knowledge of human anatomy/physiology, and medical terminology.</w:t>
            </w:r>
          </w:p>
          <w:p w:rsid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Knowledge of l</w:t>
            </w:r>
            <w:r>
              <w:rPr>
                <w:rFonts w:eastAsia="Times New Roman" w:cs="Times New Roman"/>
                <w:color w:val="333333"/>
                <w:sz w:val="20"/>
                <w:szCs w:val="20"/>
              </w:rPr>
              <w:t xml:space="preserve">ab techniques and lab safety. </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Pr>
                <w:rFonts w:eastAsia="Times New Roman" w:cs="Times New Roman"/>
                <w:color w:val="333333"/>
                <w:sz w:val="20"/>
                <w:szCs w:val="20"/>
              </w:rPr>
              <w:t>K</w:t>
            </w:r>
            <w:r w:rsidRPr="009D0AD6">
              <w:rPr>
                <w:rFonts w:eastAsia="Times New Roman" w:cs="Times New Roman"/>
                <w:color w:val="333333"/>
                <w:sz w:val="20"/>
                <w:szCs w:val="20"/>
              </w:rPr>
              <w:t>nowledge of evidence preservation and collection principles.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Skill in completing documentation and paperwork related to work assignment.</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Skill in evisceration techniques.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stand for extended periods of time and possess the physical strength needed to lift, push, pull or carry objects of 50lbs without assistance and must be able to push, pull and tug bodies from autopsy table to autopsy table in excess of 400lbs with assistance; performs moderately labor intensive work.</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work with decedents in decomposed state and work in malodorous conditions.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keep detailed records and produce detailed reports for management in regard to supply inventory and quality assurance measures.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use an air purifying respirator by ETSU Health &amp; Safety.</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work safely with chemical, biological, microbiological, pathogenic and other potential hazards.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communicate effectively (verbally and written).</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be thorough and pay meticulous attention to detail when performing tasks and completing documentation.</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t>Ability to be open to change and new information; adapts behavior or work methods in response to new information, changing conditions, or unexpected obstacles.</w:t>
            </w:r>
          </w:p>
          <w:p w:rsidR="009D0AD6" w:rsidRPr="009D0AD6" w:rsidRDefault="009D0AD6" w:rsidP="009D0AD6">
            <w:pPr>
              <w:numPr>
                <w:ilvl w:val="0"/>
                <w:numId w:val="1"/>
              </w:numPr>
              <w:spacing w:before="100" w:beforeAutospacing="1" w:after="100" w:afterAutospacing="1" w:line="240" w:lineRule="auto"/>
              <w:rPr>
                <w:rFonts w:eastAsia="Times New Roman" w:cs="Times New Roman"/>
                <w:color w:val="333333"/>
                <w:sz w:val="20"/>
                <w:szCs w:val="20"/>
              </w:rPr>
            </w:pPr>
            <w:r w:rsidRPr="009D0AD6">
              <w:rPr>
                <w:rFonts w:eastAsia="Times New Roman" w:cs="Times New Roman"/>
                <w:color w:val="333333"/>
                <w:sz w:val="20"/>
                <w:szCs w:val="20"/>
              </w:rPr>
              <w:lastRenderedPageBreak/>
              <w:t>Ability to deal calmly and effectively with high stress situations.</w:t>
            </w:r>
          </w:p>
        </w:tc>
      </w:tr>
      <w:tr w:rsidR="009D0AD6" w:rsidRPr="009D0AD6" w:rsidTr="009D0AD6">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lastRenderedPageBreak/>
              <w:t>Required Qualifications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75" w:line="240" w:lineRule="auto"/>
              <w:rPr>
                <w:rFonts w:eastAsia="Times New Roman" w:cs="Times New Roman"/>
                <w:color w:val="333333"/>
                <w:sz w:val="20"/>
                <w:szCs w:val="20"/>
              </w:rPr>
            </w:pPr>
            <w:r w:rsidRPr="009D0AD6">
              <w:rPr>
                <w:rFonts w:eastAsia="Times New Roman" w:cs="Times New Roman"/>
                <w:color w:val="333333"/>
                <w:sz w:val="20"/>
                <w:szCs w:val="20"/>
              </w:rPr>
              <w:t>High school or equivalent. Three (3) years of forensic autopsy technician experience.</w:t>
            </w:r>
          </w:p>
        </w:tc>
      </w:tr>
      <w:tr w:rsidR="009D0AD6" w:rsidRPr="009D0AD6" w:rsidTr="009D0AD6">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rsidR="009D0AD6" w:rsidRPr="009D0AD6" w:rsidRDefault="009D0AD6" w:rsidP="009D0AD6">
            <w:pPr>
              <w:spacing w:after="0" w:line="240" w:lineRule="auto"/>
              <w:jc w:val="center"/>
              <w:rPr>
                <w:rFonts w:eastAsia="Times New Roman" w:cs="Times New Roman"/>
                <w:b/>
                <w:bCs/>
                <w:color w:val="333333"/>
                <w:sz w:val="20"/>
                <w:szCs w:val="20"/>
              </w:rPr>
            </w:pPr>
            <w:r w:rsidRPr="009D0AD6">
              <w:rPr>
                <w:rFonts w:eastAsia="Times New Roman" w:cs="Times New Roman"/>
                <w:b/>
                <w:bCs/>
                <w:color w:val="333333"/>
                <w:sz w:val="20"/>
                <w:szCs w:val="20"/>
              </w:rPr>
              <w:t>Preferred Qualifications</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rsidR="009D0AD6" w:rsidRPr="009D0AD6" w:rsidRDefault="009D0AD6" w:rsidP="009D0AD6">
            <w:pPr>
              <w:spacing w:after="75" w:line="240" w:lineRule="auto"/>
              <w:rPr>
                <w:rFonts w:eastAsia="Times New Roman" w:cs="Times New Roman"/>
                <w:color w:val="333333"/>
                <w:sz w:val="20"/>
                <w:szCs w:val="20"/>
              </w:rPr>
            </w:pPr>
            <w:r w:rsidRPr="009D0AD6">
              <w:rPr>
                <w:rFonts w:eastAsia="Times New Roman" w:cs="Times New Roman"/>
                <w:color w:val="333333"/>
                <w:sz w:val="20"/>
                <w:szCs w:val="20"/>
              </w:rPr>
              <w:t>Bachelor’s degree in biology, chemistry or forensic science with course work in anatomy and physiology preferred. Some supervisory experience is preferred.</w:t>
            </w:r>
          </w:p>
        </w:tc>
      </w:tr>
    </w:tbl>
    <w:p w:rsidR="009D0AD6" w:rsidRDefault="009D0AD6"/>
    <w:sectPr w:rsidR="009D0AD6" w:rsidSect="009D0A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3F" w:rsidRDefault="00C16C3F" w:rsidP="009D0AD6">
      <w:pPr>
        <w:spacing w:after="0" w:line="240" w:lineRule="auto"/>
      </w:pPr>
      <w:r>
        <w:separator/>
      </w:r>
    </w:p>
  </w:endnote>
  <w:endnote w:type="continuationSeparator" w:id="0">
    <w:p w:rsidR="00C16C3F" w:rsidRDefault="00C16C3F" w:rsidP="009D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3F" w:rsidRDefault="00C16C3F" w:rsidP="009D0AD6">
      <w:pPr>
        <w:spacing w:after="0" w:line="240" w:lineRule="auto"/>
      </w:pPr>
      <w:r>
        <w:separator/>
      </w:r>
    </w:p>
  </w:footnote>
  <w:footnote w:type="continuationSeparator" w:id="0">
    <w:p w:rsidR="00C16C3F" w:rsidRDefault="00C16C3F" w:rsidP="009D0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718D"/>
    <w:multiLevelType w:val="multilevel"/>
    <w:tmpl w:val="E1F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D6"/>
    <w:rsid w:val="00944610"/>
    <w:rsid w:val="009D0AD6"/>
    <w:rsid w:val="00BF37E8"/>
    <w:rsid w:val="00C1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89467-02F4-4D90-BB47-C3C10FC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9D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0019">
      <w:bodyDiv w:val="1"/>
      <w:marLeft w:val="0"/>
      <w:marRight w:val="0"/>
      <w:marTop w:val="0"/>
      <w:marBottom w:val="0"/>
      <w:divBdr>
        <w:top w:val="none" w:sz="0" w:space="0" w:color="auto"/>
        <w:left w:val="none" w:sz="0" w:space="0" w:color="auto"/>
        <w:bottom w:val="none" w:sz="0" w:space="0" w:color="auto"/>
        <w:right w:val="none" w:sz="0" w:space="0" w:color="auto"/>
      </w:divBdr>
      <w:divsChild>
        <w:div w:id="1028796716">
          <w:marLeft w:val="0"/>
          <w:marRight w:val="0"/>
          <w:marTop w:val="0"/>
          <w:marBottom w:val="0"/>
          <w:divBdr>
            <w:top w:val="none" w:sz="0" w:space="0" w:color="auto"/>
            <w:left w:val="none" w:sz="0" w:space="0" w:color="auto"/>
            <w:bottom w:val="none" w:sz="0" w:space="0" w:color="auto"/>
            <w:right w:val="none" w:sz="0" w:space="0" w:color="auto"/>
          </w:divBdr>
          <w:divsChild>
            <w:div w:id="1267663570">
              <w:marLeft w:val="0"/>
              <w:marRight w:val="0"/>
              <w:marTop w:val="0"/>
              <w:marBottom w:val="0"/>
              <w:divBdr>
                <w:top w:val="none" w:sz="0" w:space="0" w:color="auto"/>
                <w:left w:val="none" w:sz="0" w:space="0" w:color="auto"/>
                <w:bottom w:val="none" w:sz="0" w:space="0" w:color="auto"/>
                <w:right w:val="none" w:sz="0" w:space="0" w:color="auto"/>
              </w:divBdr>
              <w:divsChild>
                <w:div w:id="1799836580">
                  <w:marLeft w:val="900"/>
                  <w:marRight w:val="900"/>
                  <w:marTop w:val="450"/>
                  <w:marBottom w:val="300"/>
                  <w:divBdr>
                    <w:top w:val="none" w:sz="0" w:space="0" w:color="auto"/>
                    <w:left w:val="none" w:sz="0" w:space="0" w:color="auto"/>
                    <w:bottom w:val="none" w:sz="0" w:space="0" w:color="auto"/>
                    <w:right w:val="none" w:sz="0" w:space="0" w:color="auto"/>
                  </w:divBdr>
                  <w:divsChild>
                    <w:div w:id="1384986724">
                      <w:marLeft w:val="0"/>
                      <w:marRight w:val="0"/>
                      <w:marTop w:val="0"/>
                      <w:marBottom w:val="0"/>
                      <w:divBdr>
                        <w:top w:val="none" w:sz="0" w:space="0" w:color="auto"/>
                        <w:left w:val="none" w:sz="0" w:space="0" w:color="auto"/>
                        <w:bottom w:val="none" w:sz="0" w:space="0" w:color="auto"/>
                        <w:right w:val="none" w:sz="0" w:space="0" w:color="auto"/>
                      </w:divBdr>
                      <w:divsChild>
                        <w:div w:id="1343555703">
                          <w:marLeft w:val="0"/>
                          <w:marRight w:val="0"/>
                          <w:marTop w:val="0"/>
                          <w:marBottom w:val="0"/>
                          <w:divBdr>
                            <w:top w:val="none" w:sz="0" w:space="0" w:color="auto"/>
                            <w:left w:val="none" w:sz="0" w:space="0" w:color="auto"/>
                            <w:bottom w:val="none" w:sz="0" w:space="0" w:color="auto"/>
                            <w:right w:val="none" w:sz="0" w:space="0" w:color="auto"/>
                          </w:divBdr>
                          <w:divsChild>
                            <w:div w:id="12594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375">
      <w:bodyDiv w:val="1"/>
      <w:marLeft w:val="0"/>
      <w:marRight w:val="0"/>
      <w:marTop w:val="0"/>
      <w:marBottom w:val="0"/>
      <w:divBdr>
        <w:top w:val="none" w:sz="0" w:space="0" w:color="auto"/>
        <w:left w:val="none" w:sz="0" w:space="0" w:color="auto"/>
        <w:bottom w:val="none" w:sz="0" w:space="0" w:color="auto"/>
        <w:right w:val="none" w:sz="0" w:space="0" w:color="auto"/>
      </w:divBdr>
      <w:divsChild>
        <w:div w:id="571235182">
          <w:marLeft w:val="0"/>
          <w:marRight w:val="0"/>
          <w:marTop w:val="0"/>
          <w:marBottom w:val="0"/>
          <w:divBdr>
            <w:top w:val="none" w:sz="0" w:space="0" w:color="auto"/>
            <w:left w:val="none" w:sz="0" w:space="0" w:color="auto"/>
            <w:bottom w:val="none" w:sz="0" w:space="0" w:color="auto"/>
            <w:right w:val="none" w:sz="0" w:space="0" w:color="auto"/>
          </w:divBdr>
          <w:divsChild>
            <w:div w:id="1777091790">
              <w:marLeft w:val="0"/>
              <w:marRight w:val="0"/>
              <w:marTop w:val="0"/>
              <w:marBottom w:val="0"/>
              <w:divBdr>
                <w:top w:val="none" w:sz="0" w:space="0" w:color="auto"/>
                <w:left w:val="none" w:sz="0" w:space="0" w:color="auto"/>
                <w:bottom w:val="none" w:sz="0" w:space="0" w:color="auto"/>
                <w:right w:val="none" w:sz="0" w:space="0" w:color="auto"/>
              </w:divBdr>
              <w:divsChild>
                <w:div w:id="1452168237">
                  <w:marLeft w:val="900"/>
                  <w:marRight w:val="900"/>
                  <w:marTop w:val="450"/>
                  <w:marBottom w:val="300"/>
                  <w:divBdr>
                    <w:top w:val="none" w:sz="0" w:space="0" w:color="auto"/>
                    <w:left w:val="none" w:sz="0" w:space="0" w:color="auto"/>
                    <w:bottom w:val="none" w:sz="0" w:space="0" w:color="auto"/>
                    <w:right w:val="none" w:sz="0" w:space="0" w:color="auto"/>
                  </w:divBdr>
                  <w:divsChild>
                    <w:div w:id="1352416042">
                      <w:marLeft w:val="0"/>
                      <w:marRight w:val="0"/>
                      <w:marTop w:val="0"/>
                      <w:marBottom w:val="0"/>
                      <w:divBdr>
                        <w:top w:val="none" w:sz="0" w:space="0" w:color="auto"/>
                        <w:left w:val="none" w:sz="0" w:space="0" w:color="auto"/>
                        <w:bottom w:val="none" w:sz="0" w:space="0" w:color="auto"/>
                        <w:right w:val="none" w:sz="0" w:space="0" w:color="auto"/>
                      </w:divBdr>
                      <w:divsChild>
                        <w:div w:id="623387579">
                          <w:marLeft w:val="0"/>
                          <w:marRight w:val="0"/>
                          <w:marTop w:val="0"/>
                          <w:marBottom w:val="0"/>
                          <w:divBdr>
                            <w:top w:val="none" w:sz="0" w:space="0" w:color="auto"/>
                            <w:left w:val="none" w:sz="0" w:space="0" w:color="auto"/>
                            <w:bottom w:val="none" w:sz="0" w:space="0" w:color="auto"/>
                            <w:right w:val="none" w:sz="0" w:space="0" w:color="auto"/>
                          </w:divBdr>
                          <w:divsChild>
                            <w:div w:id="1176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Laura Beth</dc:creator>
  <cp:keywords/>
  <dc:description/>
  <cp:lastModifiedBy>Parsons, Laura Beth</cp:lastModifiedBy>
  <cp:revision>1</cp:revision>
  <dcterms:created xsi:type="dcterms:W3CDTF">2017-10-23T10:51:00Z</dcterms:created>
  <dcterms:modified xsi:type="dcterms:W3CDTF">2017-10-23T11:07:00Z</dcterms:modified>
</cp:coreProperties>
</file>